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3D" w:rsidRPr="00300A07" w:rsidRDefault="00BA25AC" w:rsidP="002C7202">
      <w:pPr>
        <w:spacing w:line="240" w:lineRule="auto"/>
        <w:jc w:val="center"/>
        <w:rPr>
          <w:b/>
          <w:sz w:val="44"/>
          <w:vertAlign w:val="subscript"/>
          <w:lang w:val="id-ID"/>
        </w:rPr>
      </w:pPr>
      <w:r w:rsidRPr="00300A07">
        <w:rPr>
          <w:b/>
          <w:sz w:val="44"/>
          <w:vertAlign w:val="subscript"/>
          <w:lang w:val="id-ID"/>
        </w:rPr>
        <w:t xml:space="preserve">ANALISIS KESESUAIAN PERATURAN BADAN PENGAWAS PEMILIHAN UMUM TENTANG </w:t>
      </w:r>
      <w:r w:rsidR="0005314E" w:rsidRPr="00300A07">
        <w:rPr>
          <w:b/>
          <w:sz w:val="44"/>
          <w:vertAlign w:val="subscript"/>
          <w:lang w:val="id-ID"/>
        </w:rPr>
        <w:t>SENTRA PENEGAKAN HUKUM TERPADU</w:t>
      </w:r>
      <w:r w:rsidR="00A251B5" w:rsidRPr="00300A07">
        <w:rPr>
          <w:b/>
          <w:sz w:val="44"/>
          <w:vertAlign w:val="subscript"/>
          <w:lang w:val="id-ID"/>
        </w:rPr>
        <w:t xml:space="preserve"> </w:t>
      </w:r>
      <w:r w:rsidRPr="00300A07">
        <w:rPr>
          <w:b/>
          <w:sz w:val="44"/>
          <w:vertAlign w:val="subscript"/>
          <w:lang w:val="id-ID"/>
        </w:rPr>
        <w:t>DENGAN PERATURAN PERUNDANG-UNDANGAN DAN PUTUSAN PENGADILAN</w:t>
      </w:r>
    </w:p>
    <w:p w:rsidR="00BA25AC" w:rsidRPr="00300A07" w:rsidRDefault="00BA25AC">
      <w:pPr>
        <w:rPr>
          <w:sz w:val="28"/>
          <w:lang w:val="id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3146"/>
        <w:gridCol w:w="2071"/>
        <w:gridCol w:w="2814"/>
        <w:gridCol w:w="2814"/>
        <w:gridCol w:w="2718"/>
        <w:gridCol w:w="2881"/>
      </w:tblGrid>
      <w:tr w:rsidR="0005314E" w:rsidRPr="00300A07" w:rsidTr="00300A07">
        <w:trPr>
          <w:trHeight w:val="1721"/>
        </w:trPr>
        <w:tc>
          <w:tcPr>
            <w:tcW w:w="240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NO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LATAR BELAKANG PEMBENTUKAN PERATURAN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ANALISIS DAMPAK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ANALISIS DENGAN PERATURAN PERUNDANG-UNDANGAN YANG LEBIH TINGGI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ANALISIS DENGAN PERATURAN PERUNDANG-UNDANG YANG SETINGKAT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ANALISIS DENGA</w:t>
            </w:r>
            <w:bookmarkStart w:id="0" w:name="_GoBack"/>
            <w:bookmarkEnd w:id="0"/>
            <w:r w:rsidRPr="00300A07">
              <w:rPr>
                <w:b/>
                <w:lang w:val="id-ID"/>
              </w:rPr>
              <w:t>N PUTUSAN PENGADILAN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BA25AC" w:rsidRPr="00300A07" w:rsidRDefault="00BA25AC" w:rsidP="00300A07">
            <w:pPr>
              <w:spacing w:line="276" w:lineRule="auto"/>
              <w:jc w:val="center"/>
              <w:rPr>
                <w:b/>
                <w:lang w:val="id-ID"/>
              </w:rPr>
            </w:pPr>
            <w:r w:rsidRPr="00300A07">
              <w:rPr>
                <w:b/>
                <w:lang w:val="id-ID"/>
              </w:rPr>
              <w:t>KETERANGAN</w:t>
            </w:r>
          </w:p>
        </w:tc>
      </w:tr>
      <w:tr w:rsidR="0005314E" w:rsidRPr="00300A07" w:rsidTr="007908D3">
        <w:tc>
          <w:tcPr>
            <w:tcW w:w="240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911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t xml:space="preserve">bahwa </w:t>
            </w:r>
            <w:r w:rsidRPr="00300A07">
              <w:rPr>
                <w:lang w:val="id-ID"/>
              </w:rPr>
              <w:t xml:space="preserve">Peraturan Badan Pengawas Pemilihan Umum tentang </w:t>
            </w:r>
            <w:r w:rsidR="0005314E" w:rsidRPr="00300A07">
              <w:rPr>
                <w:lang w:val="id-ID"/>
              </w:rPr>
              <w:t>Sentra Penegakan Hukum Terpadu</w:t>
            </w:r>
            <w:r w:rsidR="00A251B5" w:rsidRPr="00300A07">
              <w:rPr>
                <w:lang w:val="id-ID"/>
              </w:rPr>
              <w:t xml:space="preserve"> </w:t>
            </w:r>
            <w:r w:rsidRPr="00300A07">
              <w:rPr>
                <w:rFonts w:eastAsia="Times New Roman"/>
                <w:color w:val="000000"/>
                <w:lang w:val="id-ID" w:eastAsia="id-ID"/>
              </w:rPr>
              <w:t xml:space="preserve">merupakan delegasi </w:t>
            </w:r>
            <w:r w:rsidR="0005314E" w:rsidRPr="00300A07">
              <w:rPr>
                <w:rFonts w:eastAsia="Times New Roman"/>
                <w:color w:val="000000"/>
                <w:lang w:eastAsia="id-ID"/>
              </w:rPr>
              <w:t>Pasal 486</w:t>
            </w:r>
            <w:r w:rsidR="00A251B5" w:rsidRPr="00300A07">
              <w:rPr>
                <w:rFonts w:eastAsia="Times New Roman"/>
                <w:color w:val="000000"/>
                <w:lang w:val="id-ID" w:eastAsia="id-ID"/>
              </w:rPr>
              <w:t xml:space="preserve"> </w:t>
            </w:r>
            <w:r w:rsidR="0005314E" w:rsidRPr="00300A07">
              <w:rPr>
                <w:rFonts w:eastAsia="Times New Roman"/>
                <w:color w:val="000000"/>
                <w:lang w:val="id-ID" w:eastAsia="id-ID"/>
              </w:rPr>
              <w:t xml:space="preserve">ayat 11 </w:t>
            </w:r>
            <w:r w:rsidRPr="00300A07">
              <w:rPr>
                <w:rFonts w:eastAsia="Times New Roman"/>
                <w:color w:val="000000"/>
                <w:lang w:eastAsia="id-ID"/>
              </w:rPr>
              <w:t xml:space="preserve">Undang-Undang Nomor 7 Tahun 2017 tentang Pemilihan Umum </w:t>
            </w:r>
          </w:p>
        </w:tc>
        <w:tc>
          <w:tcPr>
            <w:tcW w:w="598" w:type="pct"/>
          </w:tcPr>
          <w:p w:rsidR="00BA25AC" w:rsidRPr="00300A07" w:rsidRDefault="00A251B5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t xml:space="preserve">bahwa </w:t>
            </w:r>
            <w:r w:rsidR="0005314E" w:rsidRPr="00300A07">
              <w:rPr>
                <w:lang w:val="id-ID"/>
              </w:rPr>
              <w:t>Peraturan Badan Pengawas Pemilihan Umum tentang Sentra Penegakan Hukum Terpadu</w:t>
            </w:r>
            <w:r w:rsidRPr="00300A07">
              <w:rPr>
                <w:lang w:val="id-ID"/>
              </w:rPr>
              <w:t xml:space="preserve"> </w:t>
            </w:r>
            <w:r w:rsidR="007908D3" w:rsidRPr="00300A07">
              <w:rPr>
                <w:lang w:val="id-ID"/>
              </w:rPr>
              <w:t xml:space="preserve">digunakan sebagai pedoman bagi </w:t>
            </w:r>
            <w:r w:rsidR="0005314E" w:rsidRPr="00300A07">
              <w:rPr>
                <w:lang w:val="id-ID"/>
              </w:rPr>
              <w:t xml:space="preserve">Pengawas Pemilu, Kepolisian, dan Kejaksaan secara berjenjang sesuai dengan tingkatannya yang tergabung dalam Sentra Penegakan Hukum Terpadu untuk menangani </w:t>
            </w:r>
            <w:r w:rsidR="0005314E" w:rsidRPr="00300A07">
              <w:rPr>
                <w:lang w:val="id-ID"/>
              </w:rPr>
              <w:lastRenderedPageBreak/>
              <w:t>tindak pidana dalam penyelenggaraan Pemilu</w:t>
            </w:r>
            <w:r w:rsidR="007908D3" w:rsidRPr="00300A07">
              <w:rPr>
                <w:lang w:val="id-ID"/>
              </w:rPr>
              <w:t xml:space="preserve"> </w:t>
            </w:r>
          </w:p>
        </w:tc>
        <w:tc>
          <w:tcPr>
            <w:tcW w:w="815" w:type="pct"/>
          </w:tcPr>
          <w:p w:rsidR="00BA25AC" w:rsidRPr="00300A07" w:rsidRDefault="00A251B5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lastRenderedPageBreak/>
              <w:t xml:space="preserve">bahwa </w:t>
            </w:r>
            <w:r w:rsidR="0005314E" w:rsidRPr="00300A07">
              <w:rPr>
                <w:lang w:val="id-ID"/>
              </w:rPr>
              <w:t>Peraturan Badan Pengawas Pemilihan Umum tentang Sentra Penegakan Hukum Terpadu</w:t>
            </w:r>
            <w:r w:rsidRPr="00300A07">
              <w:rPr>
                <w:lang w:val="id-ID"/>
              </w:rPr>
              <w:t xml:space="preserve"> </w:t>
            </w:r>
            <w:r w:rsidR="007908D3" w:rsidRPr="00300A07">
              <w:rPr>
                <w:lang w:val="id-ID"/>
              </w:rPr>
              <w:t>sudah s</w:t>
            </w:r>
            <w:r w:rsidR="0005314E" w:rsidRPr="00300A07">
              <w:rPr>
                <w:lang w:val="id-ID"/>
              </w:rPr>
              <w:t>esuai dengan ketentuan Pasal 486</w:t>
            </w:r>
            <w:r w:rsidRPr="00300A07">
              <w:rPr>
                <w:lang w:val="id-ID"/>
              </w:rPr>
              <w:t xml:space="preserve"> </w:t>
            </w:r>
            <w:r w:rsidR="0005314E" w:rsidRPr="00300A07">
              <w:rPr>
                <w:lang w:val="id-ID"/>
              </w:rPr>
              <w:t>dan Pasal 487</w:t>
            </w:r>
            <w:r w:rsidRPr="00300A07">
              <w:rPr>
                <w:lang w:val="id-ID"/>
              </w:rPr>
              <w:t xml:space="preserve"> </w:t>
            </w:r>
            <w:r w:rsidR="007908D3" w:rsidRPr="00300A07">
              <w:rPr>
                <w:lang w:val="id-ID"/>
              </w:rPr>
              <w:t xml:space="preserve">Undang-Undang </w:t>
            </w:r>
            <w:r w:rsidR="007908D3" w:rsidRPr="00300A07">
              <w:rPr>
                <w:rFonts w:eastAsia="Times New Roman"/>
                <w:color w:val="000000"/>
                <w:lang w:eastAsia="id-ID"/>
              </w:rPr>
              <w:t>Nomor 7 Tahun 2017 tentang Pemilihan Umum</w:t>
            </w:r>
          </w:p>
        </w:tc>
        <w:tc>
          <w:tcPr>
            <w:tcW w:w="815" w:type="pct"/>
          </w:tcPr>
          <w:p w:rsidR="00BA25AC" w:rsidRPr="00300A07" w:rsidRDefault="00A251B5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t xml:space="preserve">bahwa </w:t>
            </w:r>
            <w:r w:rsidR="0005314E" w:rsidRPr="00300A07">
              <w:rPr>
                <w:lang w:val="id-ID"/>
              </w:rPr>
              <w:t>Peraturan Badan Pengawas Pemilihan Umum tentang Sentra Penegakan Hukum Terpadu</w:t>
            </w:r>
            <w:r w:rsidRPr="00300A07">
              <w:rPr>
                <w:lang w:val="id-ID"/>
              </w:rPr>
              <w:t xml:space="preserve"> </w:t>
            </w:r>
            <w:r w:rsidR="007908D3" w:rsidRPr="00300A07">
              <w:rPr>
                <w:lang w:val="id-ID"/>
              </w:rPr>
              <w:t>telah dilakukan sinkronisasi dan harmonisasi terhadap peraturan perundang-undangan yang setingkat</w:t>
            </w:r>
          </w:p>
        </w:tc>
        <w:tc>
          <w:tcPr>
            <w:tcW w:w="787" w:type="pct"/>
          </w:tcPr>
          <w:p w:rsidR="00BA25AC" w:rsidRPr="00300A07" w:rsidRDefault="007908D3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t xml:space="preserve">bahwa </w:t>
            </w:r>
            <w:r w:rsidRPr="00300A07">
              <w:rPr>
                <w:rFonts w:eastAsia="Times New Roman"/>
                <w:color w:val="000000"/>
                <w:lang w:val="id-ID" w:eastAsia="id-ID"/>
              </w:rPr>
              <w:t xml:space="preserve">belum ada putusan pengadilan yang berkaitan dengan </w:t>
            </w:r>
            <w:r w:rsidR="0005314E" w:rsidRPr="00300A07">
              <w:rPr>
                <w:lang w:val="id-ID"/>
              </w:rPr>
              <w:t>Peraturan Badan Pengawas Pemilihan Umum tentang Sentra Penegakan Hukum Terpadu</w:t>
            </w:r>
          </w:p>
        </w:tc>
        <w:tc>
          <w:tcPr>
            <w:tcW w:w="834" w:type="pct"/>
          </w:tcPr>
          <w:p w:rsidR="00BA25AC" w:rsidRPr="00300A07" w:rsidRDefault="00A251B5" w:rsidP="00300A07">
            <w:pPr>
              <w:spacing w:line="276" w:lineRule="auto"/>
              <w:rPr>
                <w:lang w:val="id-ID"/>
              </w:rPr>
            </w:pPr>
            <w:r w:rsidRPr="00300A07">
              <w:rPr>
                <w:rFonts w:eastAsia="Times New Roman"/>
                <w:color w:val="000000"/>
                <w:lang w:eastAsia="id-ID"/>
              </w:rPr>
              <w:t xml:space="preserve">bahwa </w:t>
            </w:r>
            <w:r w:rsidR="0005314E" w:rsidRPr="00300A07">
              <w:rPr>
                <w:lang w:val="id-ID"/>
              </w:rPr>
              <w:t>Peraturan Badan Pengawas Pemilihan Umum tentang Sentra Penegakan Hukum Terpadu</w:t>
            </w:r>
            <w:r w:rsidRPr="00300A07">
              <w:rPr>
                <w:lang w:val="id-ID"/>
              </w:rPr>
              <w:t xml:space="preserve"> </w:t>
            </w:r>
            <w:r w:rsidR="007908D3" w:rsidRPr="00300A07">
              <w:rPr>
                <w:lang w:val="id-ID"/>
              </w:rPr>
              <w:t xml:space="preserve">telah dilakukan konsultasi dengan Dewan Perwakilan Rakyat dan Pemerintah serta sudah diputuskan dalam rapat pleno Ketua dan Anggota Bawaslu sehingga </w:t>
            </w:r>
            <w:r w:rsidR="007908D3" w:rsidRPr="00300A07">
              <w:rPr>
                <w:lang w:val="id-ID"/>
              </w:rPr>
              <w:t>sudah tidak terdapat permasalahan secara substansi dan prosedur</w:t>
            </w:r>
          </w:p>
        </w:tc>
      </w:tr>
      <w:tr w:rsidR="0005314E" w:rsidRPr="00300A07" w:rsidTr="007908D3">
        <w:tc>
          <w:tcPr>
            <w:tcW w:w="240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911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598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815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815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787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  <w:tc>
          <w:tcPr>
            <w:tcW w:w="834" w:type="pct"/>
          </w:tcPr>
          <w:p w:rsidR="00BA25AC" w:rsidRPr="00300A07" w:rsidRDefault="00BA25AC" w:rsidP="00300A07">
            <w:pPr>
              <w:spacing w:line="276" w:lineRule="auto"/>
              <w:rPr>
                <w:lang w:val="id-ID"/>
              </w:rPr>
            </w:pPr>
          </w:p>
        </w:tc>
      </w:tr>
    </w:tbl>
    <w:p w:rsidR="00BA25AC" w:rsidRPr="00300A07" w:rsidRDefault="00BA25AC">
      <w:pPr>
        <w:rPr>
          <w:sz w:val="28"/>
          <w:lang w:val="id-ID"/>
        </w:rPr>
      </w:pPr>
    </w:p>
    <w:p w:rsidR="00B6264D" w:rsidRPr="00300A07" w:rsidRDefault="00300A07" w:rsidP="00300A07">
      <w:pPr>
        <w:ind w:left="9072"/>
        <w:jc w:val="center"/>
        <w:rPr>
          <w:sz w:val="28"/>
          <w:lang w:val="id-ID"/>
        </w:rPr>
      </w:pPr>
      <w:r w:rsidRPr="00300A07">
        <w:rPr>
          <w:sz w:val="28"/>
          <w:lang w:val="id-ID"/>
        </w:rPr>
        <w:t>Mengetahui,</w:t>
      </w: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  <w:r w:rsidRPr="00300A07">
        <w:rPr>
          <w:b/>
          <w:lang w:val="id-ID"/>
        </w:rPr>
        <w:t>a.n. SEKRETARIS JENDERAL BADAN PENGAWAS PEMILIHAN UMUM</w:t>
      </w: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  <w:r w:rsidRPr="00300A07">
        <w:rPr>
          <w:b/>
          <w:lang w:val="id-ID"/>
        </w:rPr>
        <w:t>KEPALA BIRO HUKUM, HUMAS, DAN PENGAWASAN INTERNAL</w:t>
      </w: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  <w:r w:rsidRPr="00300A07">
        <w:rPr>
          <w:b/>
          <w:lang w:val="id-ID"/>
        </w:rPr>
        <w:t>FERDINAND ESKOL TIAR SIRAIT</w:t>
      </w:r>
    </w:p>
    <w:p w:rsidR="00300A07" w:rsidRPr="00300A07" w:rsidRDefault="00300A07" w:rsidP="00300A07">
      <w:pPr>
        <w:ind w:left="9072"/>
        <w:jc w:val="center"/>
        <w:rPr>
          <w:b/>
          <w:lang w:val="id-ID"/>
        </w:rPr>
      </w:pPr>
      <w:r w:rsidRPr="00300A07">
        <w:rPr>
          <w:b/>
          <w:lang w:val="id-ID"/>
        </w:rPr>
        <w:t>NIP. 19741201 199303 1 001</w:t>
      </w:r>
    </w:p>
    <w:sectPr w:rsidR="00300A07" w:rsidRPr="00300A07" w:rsidSect="002C7202">
      <w:pgSz w:w="18722" w:h="12242" w:orient="landscape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C"/>
    <w:rsid w:val="0005314E"/>
    <w:rsid w:val="002C7202"/>
    <w:rsid w:val="00300A07"/>
    <w:rsid w:val="003264CE"/>
    <w:rsid w:val="003C073D"/>
    <w:rsid w:val="007908D3"/>
    <w:rsid w:val="00A251B5"/>
    <w:rsid w:val="00B6264D"/>
    <w:rsid w:val="00BA25AC"/>
    <w:rsid w:val="00BC190B"/>
    <w:rsid w:val="00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B156-F9FD-45BA-84AF-2BEDA0A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Tobing</dc:creator>
  <cp:keywords/>
  <dc:description/>
  <cp:lastModifiedBy>Christopher Tobing</cp:lastModifiedBy>
  <cp:revision>3</cp:revision>
  <dcterms:created xsi:type="dcterms:W3CDTF">2018-02-26T08:34:00Z</dcterms:created>
  <dcterms:modified xsi:type="dcterms:W3CDTF">2018-02-26T08:41:00Z</dcterms:modified>
</cp:coreProperties>
</file>